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F826" w14:textId="77777777" w:rsidR="002B27AB" w:rsidRPr="002B27AB" w:rsidRDefault="002B27AB" w:rsidP="002B27AB">
      <w:pPr>
        <w:spacing w:after="0"/>
        <w:jc w:val="center"/>
        <w:rPr>
          <w:b/>
          <w:sz w:val="24"/>
        </w:rPr>
      </w:pPr>
      <w:r w:rsidRPr="002B27AB">
        <w:rPr>
          <w:b/>
          <w:sz w:val="24"/>
        </w:rPr>
        <w:t>Data Use Statement</w:t>
      </w:r>
    </w:p>
    <w:p w14:paraId="6A9290FC" w14:textId="77777777" w:rsidR="002B27AB" w:rsidRDefault="00233B7C" w:rsidP="002B27AB">
      <w:pPr>
        <w:jc w:val="center"/>
      </w:pPr>
      <w:r>
        <w:rPr>
          <w:b/>
          <w:sz w:val="24"/>
        </w:rPr>
        <w:t>De-I</w:t>
      </w:r>
      <w:r w:rsidR="002B27AB" w:rsidRPr="002B27AB">
        <w:rPr>
          <w:b/>
          <w:sz w:val="24"/>
        </w:rPr>
        <w:t>dentified Data</w:t>
      </w:r>
    </w:p>
    <w:p w14:paraId="13D102D2" w14:textId="77777777" w:rsidR="002B27AB" w:rsidRPr="002B27AB" w:rsidRDefault="002B27AB" w:rsidP="003D08AC">
      <w:pPr>
        <w:spacing w:after="120"/>
        <w:rPr>
          <w:b/>
        </w:rPr>
      </w:pPr>
      <w:r w:rsidRPr="002B27AB">
        <w:rPr>
          <w:b/>
        </w:rPr>
        <w:t>Background</w:t>
      </w:r>
    </w:p>
    <w:p w14:paraId="5465DBA6" w14:textId="77777777" w:rsidR="002B27AB" w:rsidRPr="002B27AB" w:rsidRDefault="002B27AB" w:rsidP="002B27AB">
      <w:r>
        <w:t xml:space="preserve">In support of its mission, the Centers for Disease Control and Prevention (CDC) collects, generates, stores, uses, and routinely provides access to public health data. Public health and scientific advancement are best served when public health data are released to or shared with other public health agencies, academic researchers, private researchers (if appropriate), and other partners in an open, timely, and appropriate way. Pursuant to its mission, the CDC </w:t>
      </w:r>
      <w:r>
        <w:rPr>
          <w:i/>
        </w:rPr>
        <w:t>Policy on Public Health and Nonresearch Data Management and Access, January 26, 2016</w:t>
      </w:r>
      <w:r>
        <w:t xml:space="preserve"> seeks to make accessible public health data the agency has collected and generated subject to limits imposed by law, ethical considerations, resources, technology, data quality, and protection of data from physical and electronic risks to privacy and confidentiality.</w:t>
      </w:r>
    </w:p>
    <w:p w14:paraId="62A85355" w14:textId="77777777" w:rsidR="002B27AB" w:rsidRPr="00233B7C" w:rsidRDefault="002B27AB" w:rsidP="003D08AC">
      <w:pPr>
        <w:spacing w:after="120"/>
        <w:rPr>
          <w:b/>
        </w:rPr>
      </w:pPr>
      <w:r w:rsidRPr="00233B7C">
        <w:rPr>
          <w:b/>
        </w:rPr>
        <w:t>Data and Documentation for Release</w:t>
      </w:r>
    </w:p>
    <w:p w14:paraId="6E91D086" w14:textId="77777777" w:rsidR="002B27AB" w:rsidRDefault="002B27AB" w:rsidP="00184C6B">
      <w:r>
        <w:t>The data “</w:t>
      </w:r>
      <w:r w:rsidR="0088227D">
        <w:t>Botswana Combination Prevention Project</w:t>
      </w:r>
      <w:r>
        <w:t xml:space="preserve">” and associated documentation are being released in compliance with the Policy on Public Health Research and Nonresearch Data Management and Access, January 26, 2016, as Public </w:t>
      </w:r>
      <w:r w:rsidR="003D08AC">
        <w:t>Access</w:t>
      </w:r>
      <w:r>
        <w:t xml:space="preserve"> and subject to the following provisions.</w:t>
      </w:r>
    </w:p>
    <w:p w14:paraId="6AF98D0D" w14:textId="77777777" w:rsidR="002B27AB" w:rsidRDefault="002B27AB" w:rsidP="00184C6B">
      <w:r>
        <w:t xml:space="preserve">These data were collected with the support of </w:t>
      </w:r>
      <w:r w:rsidR="0088227D">
        <w:t xml:space="preserve">the: </w:t>
      </w:r>
    </w:p>
    <w:p w14:paraId="02A52CFA" w14:textId="77777777" w:rsidR="0088227D" w:rsidRPr="0088227D" w:rsidRDefault="0088227D" w:rsidP="0088227D">
      <w:pPr>
        <w:pStyle w:val="TableTextLeft"/>
        <w:numPr>
          <w:ilvl w:val="0"/>
          <w:numId w:val="4"/>
        </w:numPr>
        <w:rPr>
          <w:sz w:val="22"/>
          <w:szCs w:val="22"/>
        </w:rPr>
      </w:pPr>
      <w:r w:rsidRPr="0088227D">
        <w:rPr>
          <w:sz w:val="22"/>
          <w:szCs w:val="22"/>
        </w:rPr>
        <w:t>Botswana Ministry of Health</w:t>
      </w:r>
      <w:r>
        <w:rPr>
          <w:sz w:val="22"/>
          <w:szCs w:val="22"/>
        </w:rPr>
        <w:t xml:space="preserve"> and Wellness</w:t>
      </w:r>
      <w:r w:rsidRPr="0088227D">
        <w:rPr>
          <w:sz w:val="22"/>
          <w:szCs w:val="22"/>
        </w:rPr>
        <w:t xml:space="preserve"> (MOH</w:t>
      </w:r>
      <w:r>
        <w:rPr>
          <w:sz w:val="22"/>
          <w:szCs w:val="22"/>
        </w:rPr>
        <w:t>W</w:t>
      </w:r>
      <w:r w:rsidRPr="0088227D">
        <w:rPr>
          <w:sz w:val="22"/>
          <w:szCs w:val="22"/>
        </w:rPr>
        <w:t>)</w:t>
      </w:r>
    </w:p>
    <w:p w14:paraId="15BB3309" w14:textId="77777777" w:rsidR="0088227D" w:rsidRPr="0088227D" w:rsidRDefault="0088227D" w:rsidP="0088227D">
      <w:pPr>
        <w:pStyle w:val="TableTextLeft"/>
        <w:numPr>
          <w:ilvl w:val="0"/>
          <w:numId w:val="4"/>
        </w:numPr>
        <w:rPr>
          <w:sz w:val="22"/>
          <w:szCs w:val="22"/>
        </w:rPr>
      </w:pPr>
      <w:r w:rsidRPr="0088227D">
        <w:rPr>
          <w:sz w:val="22"/>
          <w:szCs w:val="22"/>
        </w:rPr>
        <w:t>Botswana–Harvard AIDS Institute Partnership (BHP)</w:t>
      </w:r>
    </w:p>
    <w:p w14:paraId="49A1AD4C" w14:textId="77777777" w:rsidR="0088227D" w:rsidRPr="0088227D" w:rsidRDefault="0088227D" w:rsidP="0088227D">
      <w:pPr>
        <w:pStyle w:val="TableTextLeft"/>
        <w:numPr>
          <w:ilvl w:val="0"/>
          <w:numId w:val="4"/>
        </w:numPr>
        <w:rPr>
          <w:sz w:val="22"/>
          <w:szCs w:val="22"/>
        </w:rPr>
      </w:pPr>
      <w:r w:rsidRPr="0088227D">
        <w:rPr>
          <w:sz w:val="22"/>
          <w:szCs w:val="22"/>
        </w:rPr>
        <w:t>Harvard T.H. Chan School of Public Health</w:t>
      </w:r>
      <w:r w:rsidR="00747F82">
        <w:rPr>
          <w:sz w:val="22"/>
          <w:szCs w:val="22"/>
        </w:rPr>
        <w:t xml:space="preserve"> (HSPH) at Harvard University</w:t>
      </w:r>
    </w:p>
    <w:p w14:paraId="5A8222F6" w14:textId="77777777" w:rsidR="0088227D" w:rsidRPr="0088227D" w:rsidRDefault="0088227D" w:rsidP="0088227D">
      <w:pPr>
        <w:pStyle w:val="ListParagraph"/>
        <w:numPr>
          <w:ilvl w:val="0"/>
          <w:numId w:val="4"/>
        </w:numPr>
        <w:rPr>
          <w:rFonts w:asciiTheme="minorHAnsi" w:hAnsiTheme="minorHAnsi" w:cstheme="minorHAnsi"/>
          <w:sz w:val="22"/>
          <w:szCs w:val="22"/>
        </w:rPr>
      </w:pPr>
      <w:r w:rsidRPr="0088227D">
        <w:rPr>
          <w:rFonts w:asciiTheme="minorHAnsi" w:hAnsiTheme="minorHAnsi" w:cstheme="minorHAnsi"/>
          <w:sz w:val="22"/>
          <w:szCs w:val="22"/>
        </w:rPr>
        <w:t>Centers for Disease Control and Prevention (CDC)</w:t>
      </w:r>
      <w:r>
        <w:rPr>
          <w:rFonts w:asciiTheme="minorHAnsi" w:hAnsiTheme="minorHAnsi" w:cstheme="minorHAnsi"/>
          <w:sz w:val="22"/>
          <w:szCs w:val="22"/>
        </w:rPr>
        <w:t>, Botswana</w:t>
      </w:r>
    </w:p>
    <w:p w14:paraId="4D8415DA" w14:textId="77777777" w:rsidR="0088227D" w:rsidRDefault="0088227D" w:rsidP="0088227D">
      <w:pPr>
        <w:pStyle w:val="ListParagraph"/>
        <w:numPr>
          <w:ilvl w:val="0"/>
          <w:numId w:val="4"/>
        </w:numPr>
        <w:rPr>
          <w:rFonts w:asciiTheme="minorHAnsi" w:hAnsiTheme="minorHAnsi" w:cstheme="minorHAnsi"/>
          <w:sz w:val="22"/>
          <w:szCs w:val="22"/>
        </w:rPr>
      </w:pPr>
      <w:r w:rsidRPr="0088227D">
        <w:rPr>
          <w:rFonts w:asciiTheme="minorHAnsi" w:hAnsiTheme="minorHAnsi" w:cstheme="minorHAnsi"/>
          <w:sz w:val="22"/>
          <w:szCs w:val="22"/>
        </w:rPr>
        <w:t>Centers for Disease Control and Prevention (CDC)</w:t>
      </w:r>
      <w:r>
        <w:rPr>
          <w:rFonts w:asciiTheme="minorHAnsi" w:hAnsiTheme="minorHAnsi" w:cstheme="minorHAnsi"/>
          <w:sz w:val="22"/>
          <w:szCs w:val="22"/>
        </w:rPr>
        <w:t>, Atlanta</w:t>
      </w:r>
    </w:p>
    <w:p w14:paraId="5F4727E8" w14:textId="77777777" w:rsidR="0088227D" w:rsidRPr="0088227D" w:rsidRDefault="0088227D" w:rsidP="0088227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Northrop Grumman</w:t>
      </w:r>
    </w:p>
    <w:p w14:paraId="47D2D5B5" w14:textId="77777777" w:rsidR="0088227D" w:rsidRDefault="0088227D" w:rsidP="003D08AC">
      <w:pPr>
        <w:spacing w:after="120"/>
        <w:rPr>
          <w:b/>
        </w:rPr>
      </w:pPr>
    </w:p>
    <w:p w14:paraId="7E5D6634" w14:textId="77777777" w:rsidR="002B27AB" w:rsidRPr="00233B7C" w:rsidRDefault="00233B7C" w:rsidP="003D08AC">
      <w:pPr>
        <w:spacing w:after="120"/>
        <w:rPr>
          <w:b/>
        </w:rPr>
      </w:pPr>
      <w:r w:rsidRPr="00233B7C">
        <w:rPr>
          <w:b/>
        </w:rPr>
        <w:t>Provisions</w:t>
      </w:r>
    </w:p>
    <w:p w14:paraId="6026D6D8" w14:textId="77777777" w:rsidR="00233B7C" w:rsidRDefault="00233B7C" w:rsidP="00B02BF1">
      <w:pPr>
        <w:spacing w:after="120"/>
      </w:pPr>
      <w:r>
        <w:t>By use of this data set, the user acknowledges and agrees to the following conditions:</w:t>
      </w:r>
    </w:p>
    <w:p w14:paraId="4D0D0358" w14:textId="77777777" w:rsidR="00233B7C" w:rsidRDefault="00233B7C" w:rsidP="00233B7C">
      <w:pPr>
        <w:pStyle w:val="Bullet1"/>
      </w:pPr>
      <w:r>
        <w:t>No attempt will be made to identify records contained in the data provided under this Data Use Statement or to link these data with other data sources for identification purposes.</w:t>
      </w:r>
    </w:p>
    <w:p w14:paraId="07462FDF" w14:textId="77777777" w:rsidR="00571993" w:rsidRPr="008A3264" w:rsidRDefault="00233B7C" w:rsidP="008A3264">
      <w:pPr>
        <w:pStyle w:val="Bullet1"/>
        <w:rPr>
          <w:rStyle w:val="Hyperlink"/>
          <w:color w:val="auto"/>
          <w:u w:val="none"/>
        </w:rPr>
      </w:pPr>
      <w:r>
        <w:t xml:space="preserve">Licensing – some rights reserved. This data set and documentation are available under the </w:t>
      </w:r>
      <w:r w:rsidR="008A3264" w:rsidRPr="008A3264">
        <w:t>Attribution 4.0 International (CC BY 4.0)</w:t>
      </w:r>
      <w:r w:rsidR="008A3264">
        <w:t xml:space="preserve">: </w:t>
      </w:r>
      <w:r w:rsidR="008A3264" w:rsidRPr="008A3264">
        <w:t>https://creativecommons.org/licenses/by/4.0/</w:t>
      </w:r>
    </w:p>
    <w:p w14:paraId="2AA73CE1" w14:textId="77777777" w:rsidR="008A3264" w:rsidRDefault="008A3264" w:rsidP="008A3264">
      <w:pPr>
        <w:pStyle w:val="Bullet1"/>
        <w:numPr>
          <w:ilvl w:val="0"/>
          <w:numId w:val="0"/>
        </w:numPr>
        <w:ind w:left="274"/>
      </w:pPr>
    </w:p>
    <w:p w14:paraId="6CD7466C" w14:textId="77777777" w:rsidR="008A3264" w:rsidRDefault="008A3264" w:rsidP="008A3264">
      <w:pPr>
        <w:pStyle w:val="Bullet1"/>
        <w:numPr>
          <w:ilvl w:val="0"/>
          <w:numId w:val="0"/>
        </w:numPr>
        <w:spacing w:after="200"/>
        <w:rPr>
          <w:highlight w:val="yellow"/>
        </w:rPr>
      </w:pPr>
      <w:r>
        <w:t xml:space="preserve">Under the terms of this license, </w:t>
      </w:r>
      <w:r>
        <w:rPr>
          <w:color w:val="000000"/>
          <w:shd w:val="clear" w:color="auto" w:fill="FFFFFF"/>
        </w:rPr>
        <w:t>which permits unrestricted use, distribution, and reproduction in any medium, provided the original work is properly cited</w:t>
      </w:r>
      <w:r>
        <w:t>, and by reviewing and signing the Data Use Agreement, the user agrees to:</w:t>
      </w:r>
    </w:p>
    <w:p w14:paraId="19B59067" w14:textId="77777777" w:rsidR="008A3264" w:rsidRDefault="008A3264" w:rsidP="008A3264">
      <w:pPr>
        <w:pStyle w:val="TableTextBoxBullet1"/>
        <w:numPr>
          <w:ilvl w:val="0"/>
          <w:numId w:val="5"/>
        </w:numPr>
        <w:ind w:left="274" w:hanging="274"/>
        <w:rPr>
          <w:sz w:val="22"/>
          <w:szCs w:val="22"/>
        </w:rPr>
      </w:pPr>
      <w:r>
        <w:rPr>
          <w:sz w:val="22"/>
          <w:szCs w:val="22"/>
        </w:rPr>
        <w:t>Use these data only for analysis purposes stated in the data access request and not attempt to identify individuals or Institutions.</w:t>
      </w:r>
    </w:p>
    <w:p w14:paraId="657179EF" w14:textId="77777777" w:rsidR="008A3264" w:rsidRDefault="008A3264" w:rsidP="008A3264">
      <w:pPr>
        <w:pStyle w:val="TableTextBoxBullet1"/>
        <w:numPr>
          <w:ilvl w:val="0"/>
          <w:numId w:val="5"/>
        </w:numPr>
        <w:ind w:left="274" w:hanging="274"/>
        <w:rPr>
          <w:sz w:val="22"/>
          <w:szCs w:val="22"/>
        </w:rPr>
      </w:pPr>
      <w:r>
        <w:rPr>
          <w:sz w:val="22"/>
          <w:szCs w:val="22"/>
        </w:rPr>
        <w:t>Present all data and results in such a way as to prevent deductive disclosure of individuals.</w:t>
      </w:r>
    </w:p>
    <w:p w14:paraId="4D5FC0B5" w14:textId="77777777" w:rsidR="008A3264" w:rsidRDefault="008A3264" w:rsidP="008A3264">
      <w:pPr>
        <w:pStyle w:val="TableTextBoxBullet1"/>
        <w:numPr>
          <w:ilvl w:val="0"/>
          <w:numId w:val="5"/>
        </w:numPr>
        <w:ind w:left="274" w:hanging="274"/>
        <w:rPr>
          <w:sz w:val="22"/>
          <w:szCs w:val="22"/>
        </w:rPr>
      </w:pPr>
      <w:r>
        <w:rPr>
          <w:sz w:val="22"/>
          <w:szCs w:val="22"/>
        </w:rPr>
        <w:t>Not share data with o</w:t>
      </w:r>
      <w:bookmarkStart w:id="0" w:name="_GoBack"/>
      <w:bookmarkEnd w:id="0"/>
      <w:r>
        <w:rPr>
          <w:sz w:val="22"/>
          <w:szCs w:val="22"/>
        </w:rPr>
        <w:t>thers or use beyond the purpose(s) stated in the data access request.</w:t>
      </w:r>
    </w:p>
    <w:p w14:paraId="6D70B565" w14:textId="77777777" w:rsidR="008A3264" w:rsidRDefault="008A3264" w:rsidP="008A3264">
      <w:pPr>
        <w:pStyle w:val="TableTextBoxBullet1"/>
        <w:numPr>
          <w:ilvl w:val="0"/>
          <w:numId w:val="5"/>
        </w:numPr>
        <w:ind w:left="274" w:hanging="274"/>
        <w:rPr>
          <w:sz w:val="22"/>
          <w:szCs w:val="22"/>
        </w:rPr>
      </w:pPr>
      <w:r>
        <w:rPr>
          <w:sz w:val="22"/>
          <w:szCs w:val="22"/>
        </w:rPr>
        <w:lastRenderedPageBreak/>
        <w:t>Not to publish the received individual data on the World Wide Web and not to distribute them to any other organization or individual. Only summary level data is acceptable for publication.</w:t>
      </w:r>
    </w:p>
    <w:p w14:paraId="17EBD523" w14:textId="77777777" w:rsidR="008A3264" w:rsidRDefault="008A3264" w:rsidP="008A3264">
      <w:pPr>
        <w:pStyle w:val="TableTextBoxBullet1"/>
        <w:numPr>
          <w:ilvl w:val="0"/>
          <w:numId w:val="5"/>
        </w:numPr>
        <w:ind w:left="274" w:hanging="274"/>
        <w:rPr>
          <w:sz w:val="22"/>
          <w:szCs w:val="22"/>
        </w:rPr>
      </w:pPr>
      <w:r>
        <w:rPr>
          <w:sz w:val="22"/>
          <w:szCs w:val="22"/>
        </w:rPr>
        <w:t>Not to produce a back-up data copy of the survey data except as required for the analysis or maintenance of the data.</w:t>
      </w:r>
    </w:p>
    <w:p w14:paraId="4D5C537D" w14:textId="77777777" w:rsidR="00BF767D" w:rsidRDefault="00BF767D" w:rsidP="00BF767D">
      <w:pPr>
        <w:pStyle w:val="TableTextBoxBullet1"/>
        <w:numPr>
          <w:ilvl w:val="0"/>
          <w:numId w:val="0"/>
        </w:numPr>
        <w:ind w:left="274"/>
        <w:rPr>
          <w:sz w:val="22"/>
          <w:szCs w:val="22"/>
        </w:rPr>
      </w:pPr>
    </w:p>
    <w:p w14:paraId="69FBCFF4" w14:textId="77777777" w:rsidR="00184C6B" w:rsidRDefault="00233B7C" w:rsidP="003D08AC">
      <w:pPr>
        <w:spacing w:after="120"/>
        <w:rPr>
          <w:b/>
        </w:rPr>
      </w:pPr>
      <w:r w:rsidRPr="00233B7C">
        <w:rPr>
          <w:b/>
        </w:rPr>
        <w:t>Recommended Citation</w:t>
      </w:r>
    </w:p>
    <w:p w14:paraId="7C65B2E8" w14:textId="77777777" w:rsidR="00F60B7E" w:rsidRDefault="00CC05F1" w:rsidP="00F60B7E">
      <w:pPr>
        <w:pStyle w:val="TableTextBoxBullet1"/>
        <w:numPr>
          <w:ilvl w:val="0"/>
          <w:numId w:val="0"/>
        </w:numPr>
        <w:rPr>
          <w:sz w:val="22"/>
          <w:szCs w:val="22"/>
        </w:rPr>
      </w:pPr>
      <w:r>
        <w:rPr>
          <w:sz w:val="22"/>
          <w:szCs w:val="22"/>
        </w:rPr>
        <w:t xml:space="preserve">Botswana Ministry of Health and Wellness (MOHW), </w:t>
      </w:r>
      <w:r w:rsidR="00F60B7E" w:rsidRPr="00F60B7E">
        <w:rPr>
          <w:sz w:val="22"/>
          <w:szCs w:val="22"/>
        </w:rPr>
        <w:t>Botswana–Harvard AIDS Institute Partnership (BHP), Harvard T.H. Chan School of Public Health</w:t>
      </w:r>
      <w:r>
        <w:rPr>
          <w:sz w:val="22"/>
          <w:szCs w:val="22"/>
        </w:rPr>
        <w:t xml:space="preserve"> (HSPH)</w:t>
      </w:r>
      <w:r w:rsidR="00F60B7E">
        <w:rPr>
          <w:sz w:val="22"/>
          <w:szCs w:val="22"/>
        </w:rPr>
        <w:t>, and Centers for Disease Control and Prevention (CDC). 2020. Botswana Combination Prevention Project (various) [Datasets]. Gaborone, Botswana, Boston, Massachusetts, and Atlanta, Georgia, USA: Ministry of Health and Wellness</w:t>
      </w:r>
      <w:r>
        <w:rPr>
          <w:sz w:val="22"/>
          <w:szCs w:val="22"/>
        </w:rPr>
        <w:t>,</w:t>
      </w:r>
      <w:r w:rsidR="00F60B7E">
        <w:rPr>
          <w:sz w:val="22"/>
          <w:szCs w:val="22"/>
        </w:rPr>
        <w:t xml:space="preserve"> </w:t>
      </w:r>
      <w:r w:rsidR="00F60B7E" w:rsidRPr="00F60B7E">
        <w:rPr>
          <w:sz w:val="22"/>
          <w:szCs w:val="22"/>
        </w:rPr>
        <w:t>BHP</w:t>
      </w:r>
      <w:r w:rsidR="00F60B7E">
        <w:rPr>
          <w:sz w:val="22"/>
          <w:szCs w:val="22"/>
        </w:rPr>
        <w:t xml:space="preserve">, </w:t>
      </w:r>
      <w:r>
        <w:rPr>
          <w:sz w:val="22"/>
          <w:szCs w:val="22"/>
        </w:rPr>
        <w:t>HSPH</w:t>
      </w:r>
      <w:r w:rsidR="00F60B7E">
        <w:rPr>
          <w:sz w:val="22"/>
          <w:szCs w:val="22"/>
        </w:rPr>
        <w:t xml:space="preserve"> at Harvard University, CDC [Producers]. Centers for Disease Control and Prevention [Distributor], 2020.</w:t>
      </w:r>
    </w:p>
    <w:p w14:paraId="648D645E" w14:textId="77777777" w:rsidR="00F60B7E" w:rsidRDefault="00F60B7E" w:rsidP="00EA742C">
      <w:pPr>
        <w:spacing w:after="120"/>
      </w:pPr>
    </w:p>
    <w:p w14:paraId="1F504E2E" w14:textId="77777777" w:rsidR="00233B7C" w:rsidRPr="00233B7C" w:rsidRDefault="00233B7C" w:rsidP="003D08AC">
      <w:pPr>
        <w:spacing w:after="120"/>
        <w:rPr>
          <w:b/>
        </w:rPr>
      </w:pPr>
      <w:r w:rsidRPr="00233B7C">
        <w:rPr>
          <w:b/>
        </w:rPr>
        <w:t>General Disclaimer</w:t>
      </w:r>
    </w:p>
    <w:p w14:paraId="66D400FE" w14:textId="77777777" w:rsidR="00233B7C" w:rsidRDefault="00233B7C" w:rsidP="00184C6B">
      <w:r>
        <w:t xml:space="preserve">Every effort has been made to provide accurate and complete information contained in this data set and documentation. However, we cannot guarantee that there will be no errors. </w:t>
      </w:r>
      <w:r w:rsidR="00F60B7E">
        <w:t xml:space="preserve">The Botswana Ministry of Health and Wellness (MOHW), Botswana–Harvard AIDS Institute Partnership (BHP), Harvard T.H. Chan School of Public Health, </w:t>
      </w:r>
      <w:r w:rsidR="00F60B7E">
        <w:tab/>
      </w:r>
      <w:r w:rsidR="00F60B7E" w:rsidRPr="00F60B7E">
        <w:t>Northrop Grumman</w:t>
      </w:r>
      <w:r w:rsidR="00F60B7E">
        <w:t xml:space="preserve">, and the U.S. Centers for Disease Control and Prevention </w:t>
      </w:r>
      <w:r>
        <w:t>does not assume any legal liability for the accuracy, completeness, or usefulness of any information, product, or process disclosed herein, or represents that use of such information, product, or process would not infringe on privately owned rights.</w:t>
      </w:r>
    </w:p>
    <w:sectPr w:rsidR="00233B7C" w:rsidSect="00B02BF1">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2EB0" w14:textId="77777777" w:rsidR="00EB1C6B" w:rsidRDefault="00EB1C6B" w:rsidP="00184C6B">
      <w:r>
        <w:separator/>
      </w:r>
    </w:p>
    <w:p w14:paraId="4795C2E5" w14:textId="77777777" w:rsidR="00EB1C6B" w:rsidRDefault="00EB1C6B" w:rsidP="00184C6B"/>
  </w:endnote>
  <w:endnote w:type="continuationSeparator" w:id="0">
    <w:p w14:paraId="7E4AF69C" w14:textId="77777777" w:rsidR="00EB1C6B" w:rsidRDefault="00EB1C6B" w:rsidP="00184C6B">
      <w:r>
        <w:continuationSeparator/>
      </w:r>
    </w:p>
    <w:p w14:paraId="1CE3B908" w14:textId="77777777" w:rsidR="00EB1C6B" w:rsidRDefault="00EB1C6B" w:rsidP="00184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ba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0D7D" w14:textId="77777777" w:rsidR="0036321D" w:rsidRDefault="00363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72057"/>
      <w:docPartObj>
        <w:docPartGallery w:val="Page Numbers (Bottom of Page)"/>
        <w:docPartUnique/>
      </w:docPartObj>
    </w:sdtPr>
    <w:sdtEndPr>
      <w:rPr>
        <w:noProof/>
      </w:rPr>
    </w:sdtEndPr>
    <w:sdtContent>
      <w:p w14:paraId="4DEDD31E" w14:textId="2136CAD7" w:rsidR="00E4214B" w:rsidRPr="00D352EB" w:rsidRDefault="00FB3261" w:rsidP="007B5BC9">
        <w:pPr>
          <w:pStyle w:val="Footer"/>
          <w:tabs>
            <w:tab w:val="clear" w:pos="4680"/>
          </w:tabs>
        </w:pPr>
        <w:r>
          <w:t>Data Use Statement: BCPP</w:t>
        </w:r>
        <w:r w:rsidR="0036321D">
          <w:t xml:space="preserve"> 2020</w:t>
        </w:r>
        <w:r w:rsidR="007B5BC9">
          <w:tab/>
        </w:r>
        <w:r w:rsidR="00E4214B" w:rsidRPr="00D352EB">
          <w:t>|</w:t>
        </w:r>
        <w:r w:rsidR="00E4214B">
          <w:t xml:space="preserve"> </w:t>
        </w:r>
        <w:r w:rsidR="00E4214B" w:rsidRPr="00D352EB">
          <w:fldChar w:fldCharType="begin"/>
        </w:r>
        <w:r w:rsidR="00E4214B" w:rsidRPr="00D352EB">
          <w:instrText xml:space="preserve"> PAGE   \* MERGEFORMAT </w:instrText>
        </w:r>
        <w:r w:rsidR="00E4214B" w:rsidRPr="00D352EB">
          <w:fldChar w:fldCharType="separate"/>
        </w:r>
        <w:r w:rsidR="003E43C1">
          <w:rPr>
            <w:noProof/>
          </w:rPr>
          <w:t>1</w:t>
        </w:r>
        <w:r w:rsidR="00E4214B" w:rsidRPr="00D352E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E5E0" w14:textId="77777777" w:rsidR="0036321D" w:rsidRDefault="0036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7438E" w14:textId="77777777" w:rsidR="00EB1C6B" w:rsidRDefault="00EB1C6B" w:rsidP="00184C6B">
      <w:r>
        <w:separator/>
      </w:r>
    </w:p>
    <w:p w14:paraId="5D178BD4" w14:textId="77777777" w:rsidR="00EB1C6B" w:rsidRDefault="00EB1C6B" w:rsidP="00184C6B"/>
  </w:footnote>
  <w:footnote w:type="continuationSeparator" w:id="0">
    <w:p w14:paraId="4CBAB523" w14:textId="77777777" w:rsidR="00EB1C6B" w:rsidRDefault="00EB1C6B" w:rsidP="00184C6B">
      <w:r>
        <w:continuationSeparator/>
      </w:r>
    </w:p>
    <w:p w14:paraId="31C3E23F" w14:textId="77777777" w:rsidR="00EB1C6B" w:rsidRDefault="00EB1C6B" w:rsidP="00184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3BF7" w14:textId="77777777" w:rsidR="0036321D" w:rsidRDefault="0036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BEC0" w14:textId="77777777" w:rsidR="0036321D" w:rsidRDefault="00363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4FEF" w14:textId="77777777" w:rsidR="0036321D" w:rsidRDefault="00363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6EF"/>
    <w:multiLevelType w:val="hybridMultilevel"/>
    <w:tmpl w:val="D634357C"/>
    <w:lvl w:ilvl="0" w:tplc="1F08FA0C">
      <w:start w:val="1"/>
      <w:numFmt w:val="bullet"/>
      <w:pStyle w:val="TableTextBoxBullet2"/>
      <w:lvlText w:val=""/>
      <w:lvlJc w:val="left"/>
      <w:pPr>
        <w:ind w:left="1080" w:hanging="360"/>
      </w:pPr>
      <w:rPr>
        <w:rFonts w:ascii="Symbol" w:hAnsi="Symbol" w:hint="default"/>
        <w:color w:val="00666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B2386"/>
    <w:multiLevelType w:val="hybridMultilevel"/>
    <w:tmpl w:val="920E9180"/>
    <w:lvl w:ilvl="0" w:tplc="3E129602">
      <w:start w:val="1"/>
      <w:numFmt w:val="bullet"/>
      <w:pStyle w:val="TableTextBoxBullet1"/>
      <w:lvlText w:val=""/>
      <w:lvlJc w:val="left"/>
      <w:pPr>
        <w:ind w:left="720" w:hanging="360"/>
      </w:pPr>
      <w:rPr>
        <w:rFonts w:ascii="Wingdings" w:hAnsi="Wingdings" w:hint="default"/>
        <w:color w:val="19216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40B16"/>
    <w:multiLevelType w:val="hybridMultilevel"/>
    <w:tmpl w:val="D6180D20"/>
    <w:lvl w:ilvl="0" w:tplc="C4160CE6">
      <w:start w:val="1"/>
      <w:numFmt w:val="bullet"/>
      <w:pStyle w:val="Bullet3"/>
      <w:lvlText w:val="–"/>
      <w:lvlJc w:val="left"/>
      <w:pPr>
        <w:ind w:left="720" w:hanging="360"/>
      </w:pPr>
      <w:rPr>
        <w:rFonts w:ascii="Calibri" w:hAnsi="Calibri" w:hint="default"/>
        <w:color w:val="19216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E4A91"/>
    <w:multiLevelType w:val="hybridMultilevel"/>
    <w:tmpl w:val="D7568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FE"/>
    <w:rsid w:val="0005057C"/>
    <w:rsid w:val="000A7821"/>
    <w:rsid w:val="000A7B6D"/>
    <w:rsid w:val="000D0038"/>
    <w:rsid w:val="000D59BB"/>
    <w:rsid w:val="00184C6B"/>
    <w:rsid w:val="00233B7C"/>
    <w:rsid w:val="002B27AB"/>
    <w:rsid w:val="00312FB5"/>
    <w:rsid w:val="00346DCF"/>
    <w:rsid w:val="0036321D"/>
    <w:rsid w:val="003D08AC"/>
    <w:rsid w:val="003E18A2"/>
    <w:rsid w:val="003E43C1"/>
    <w:rsid w:val="003F614C"/>
    <w:rsid w:val="00410386"/>
    <w:rsid w:val="0043179D"/>
    <w:rsid w:val="00436918"/>
    <w:rsid w:val="00476F34"/>
    <w:rsid w:val="00490272"/>
    <w:rsid w:val="004A60EB"/>
    <w:rsid w:val="004A718D"/>
    <w:rsid w:val="004F2EE4"/>
    <w:rsid w:val="00501F67"/>
    <w:rsid w:val="00524DBE"/>
    <w:rsid w:val="00571993"/>
    <w:rsid w:val="00572DBB"/>
    <w:rsid w:val="00586881"/>
    <w:rsid w:val="00747F82"/>
    <w:rsid w:val="00756F07"/>
    <w:rsid w:val="007B5BC9"/>
    <w:rsid w:val="007E339A"/>
    <w:rsid w:val="007F7827"/>
    <w:rsid w:val="008532E8"/>
    <w:rsid w:val="00863683"/>
    <w:rsid w:val="0088227D"/>
    <w:rsid w:val="008A21C8"/>
    <w:rsid w:val="008A3264"/>
    <w:rsid w:val="0090755D"/>
    <w:rsid w:val="00907FFB"/>
    <w:rsid w:val="00923FF0"/>
    <w:rsid w:val="00924E44"/>
    <w:rsid w:val="00931045"/>
    <w:rsid w:val="009657FE"/>
    <w:rsid w:val="00992A1D"/>
    <w:rsid w:val="00A27948"/>
    <w:rsid w:val="00AD3386"/>
    <w:rsid w:val="00AE2B29"/>
    <w:rsid w:val="00B02BF1"/>
    <w:rsid w:val="00B14D29"/>
    <w:rsid w:val="00B360C7"/>
    <w:rsid w:val="00B93C3D"/>
    <w:rsid w:val="00BE644E"/>
    <w:rsid w:val="00BE6D65"/>
    <w:rsid w:val="00BF767D"/>
    <w:rsid w:val="00C22F1B"/>
    <w:rsid w:val="00C90D9F"/>
    <w:rsid w:val="00CC05F1"/>
    <w:rsid w:val="00D352EB"/>
    <w:rsid w:val="00D833B7"/>
    <w:rsid w:val="00E169A3"/>
    <w:rsid w:val="00E4214B"/>
    <w:rsid w:val="00EA20B2"/>
    <w:rsid w:val="00EA742C"/>
    <w:rsid w:val="00EB1C6B"/>
    <w:rsid w:val="00F60B7E"/>
    <w:rsid w:val="00F60D53"/>
    <w:rsid w:val="00FB3261"/>
    <w:rsid w:val="00FE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FD9F"/>
  <w15:chartTrackingRefBased/>
  <w15:docId w15:val="{88220864-A3C0-42F7-91D3-96B22407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6B"/>
    <w:pPr>
      <w:spacing w:after="200" w:line="264" w:lineRule="auto"/>
    </w:pPr>
    <w:rPr>
      <w:rFonts w:asciiTheme="minorHAnsi" w:eastAsiaTheme="minorEastAsia" w:hAnsiTheme="minorHAnsi" w:cstheme="minorHAnsi"/>
      <w:sz w:val="22"/>
    </w:rPr>
  </w:style>
  <w:style w:type="paragraph" w:styleId="Heading1">
    <w:name w:val="heading 1"/>
    <w:basedOn w:val="Normal"/>
    <w:next w:val="Normal"/>
    <w:link w:val="Heading1Char"/>
    <w:uiPriority w:val="9"/>
    <w:qFormat/>
    <w:rsid w:val="00184C6B"/>
    <w:pPr>
      <w:keepNext/>
      <w:keepLines/>
      <w:pBdr>
        <w:bottom w:val="single" w:sz="18" w:space="1" w:color="192168"/>
      </w:pBdr>
      <w:outlineLvl w:val="0"/>
    </w:pPr>
    <w:rPr>
      <w:rFonts w:eastAsiaTheme="majorEastAsia"/>
      <w:b/>
      <w:color w:val="192168"/>
      <w:sz w:val="40"/>
      <w:szCs w:val="40"/>
    </w:rPr>
  </w:style>
  <w:style w:type="paragraph" w:styleId="Heading2">
    <w:name w:val="heading 2"/>
    <w:basedOn w:val="Normal"/>
    <w:next w:val="Normal"/>
    <w:link w:val="Heading2Char"/>
    <w:uiPriority w:val="9"/>
    <w:unhideWhenUsed/>
    <w:qFormat/>
    <w:rsid w:val="00184C6B"/>
    <w:pPr>
      <w:keepNext/>
      <w:outlineLvl w:val="1"/>
    </w:pPr>
    <w:rPr>
      <w:b/>
      <w:color w:val="2E74B5"/>
      <w:sz w:val="36"/>
      <w:szCs w:val="36"/>
    </w:rPr>
  </w:style>
  <w:style w:type="paragraph" w:styleId="Heading3">
    <w:name w:val="heading 3"/>
    <w:basedOn w:val="Normal"/>
    <w:next w:val="Normal"/>
    <w:link w:val="Heading3Char"/>
    <w:uiPriority w:val="9"/>
    <w:unhideWhenUsed/>
    <w:qFormat/>
    <w:rsid w:val="00184C6B"/>
    <w:pPr>
      <w:keepNext/>
      <w:outlineLvl w:val="2"/>
    </w:pPr>
    <w:rPr>
      <w:b/>
      <w:color w:val="192168"/>
      <w:sz w:val="28"/>
      <w:szCs w:val="28"/>
    </w:rPr>
  </w:style>
  <w:style w:type="paragraph" w:styleId="Heading4">
    <w:name w:val="heading 4"/>
    <w:basedOn w:val="Normal"/>
    <w:next w:val="Normal"/>
    <w:link w:val="Heading4Char"/>
    <w:uiPriority w:val="9"/>
    <w:unhideWhenUsed/>
    <w:qFormat/>
    <w:rsid w:val="00184C6B"/>
    <w:pPr>
      <w:keepNext/>
      <w:outlineLvl w:val="3"/>
    </w:pPr>
    <w:rPr>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881"/>
    <w:pPr>
      <w:autoSpaceDE w:val="0"/>
      <w:autoSpaceDN w:val="0"/>
      <w:adjustRightInd w:val="0"/>
    </w:pPr>
    <w:rPr>
      <w:rFonts w:ascii="Bebas" w:eastAsia="Calibri" w:hAnsi="Bebas" w:cs="Bebas"/>
      <w:color w:val="000000"/>
    </w:rPr>
  </w:style>
  <w:style w:type="paragraph" w:customStyle="1" w:styleId="Pa0">
    <w:name w:val="Pa0"/>
    <w:basedOn w:val="Default"/>
    <w:next w:val="Default"/>
    <w:uiPriority w:val="99"/>
    <w:rsid w:val="00586881"/>
    <w:pPr>
      <w:spacing w:line="241" w:lineRule="atLeast"/>
    </w:pPr>
    <w:rPr>
      <w:rFonts w:cs="Times New Roman"/>
      <w:color w:val="auto"/>
    </w:rPr>
  </w:style>
  <w:style w:type="character" w:customStyle="1" w:styleId="A11">
    <w:name w:val="A11"/>
    <w:uiPriority w:val="99"/>
    <w:rsid w:val="00586881"/>
    <w:rPr>
      <w:rFonts w:cs="Bebas"/>
      <w:color w:val="000000"/>
      <w:sz w:val="39"/>
      <w:szCs w:val="39"/>
    </w:rPr>
  </w:style>
  <w:style w:type="character" w:customStyle="1" w:styleId="A7">
    <w:name w:val="A7"/>
    <w:uiPriority w:val="99"/>
    <w:rsid w:val="00586881"/>
    <w:rPr>
      <w:rFonts w:ascii="Segoe UI" w:hAnsi="Segoe UI" w:cs="Segoe UI"/>
      <w:b/>
      <w:bCs/>
      <w:color w:val="000000"/>
      <w:sz w:val="12"/>
      <w:szCs w:val="12"/>
    </w:rPr>
  </w:style>
  <w:style w:type="paragraph" w:styleId="Header">
    <w:name w:val="header"/>
    <w:basedOn w:val="Normal"/>
    <w:link w:val="HeaderChar"/>
    <w:uiPriority w:val="99"/>
    <w:unhideWhenUsed/>
    <w:rsid w:val="00586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81"/>
    <w:rPr>
      <w:rFonts w:ascii="Arial" w:eastAsiaTheme="minorEastAsia" w:hAnsi="Arial" w:cstheme="minorBidi"/>
      <w:sz w:val="22"/>
    </w:rPr>
  </w:style>
  <w:style w:type="paragraph" w:styleId="Footer">
    <w:name w:val="footer"/>
    <w:basedOn w:val="Normal"/>
    <w:link w:val="FooterChar"/>
    <w:uiPriority w:val="99"/>
    <w:unhideWhenUsed/>
    <w:rsid w:val="00586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81"/>
    <w:rPr>
      <w:rFonts w:ascii="Arial" w:eastAsiaTheme="minorEastAsia" w:hAnsi="Arial" w:cstheme="minorBidi"/>
      <w:sz w:val="22"/>
    </w:rPr>
  </w:style>
  <w:style w:type="character" w:customStyle="1" w:styleId="Heading1Char">
    <w:name w:val="Heading 1 Char"/>
    <w:basedOn w:val="DefaultParagraphFont"/>
    <w:link w:val="Heading1"/>
    <w:uiPriority w:val="9"/>
    <w:rsid w:val="00184C6B"/>
    <w:rPr>
      <w:rFonts w:asciiTheme="minorHAnsi" w:eastAsiaTheme="majorEastAsia" w:hAnsiTheme="minorHAnsi" w:cstheme="minorHAnsi"/>
      <w:b/>
      <w:color w:val="192168"/>
      <w:sz w:val="40"/>
      <w:szCs w:val="40"/>
    </w:rPr>
  </w:style>
  <w:style w:type="paragraph" w:styleId="ListParagraph">
    <w:name w:val="List Paragraph"/>
    <w:basedOn w:val="Normal"/>
    <w:link w:val="ListParagraphChar"/>
    <w:uiPriority w:val="34"/>
    <w:rsid w:val="00184C6B"/>
    <w:pPr>
      <w:spacing w:after="0" w:line="240" w:lineRule="auto"/>
      <w:ind w:left="720"/>
      <w:contextualSpacing/>
    </w:pPr>
    <w:rPr>
      <w:rFonts w:ascii="Times New Roman" w:eastAsiaTheme="minorHAnsi" w:hAnsi="Times New Roman" w:cs="Times New Roman"/>
      <w:sz w:val="24"/>
    </w:rPr>
  </w:style>
  <w:style w:type="table" w:styleId="TableGrid">
    <w:name w:val="Table Grid"/>
    <w:basedOn w:val="TableNormal"/>
    <w:uiPriority w:val="39"/>
    <w:rsid w:val="0018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4C6B"/>
    <w:rPr>
      <w:rFonts w:asciiTheme="minorHAnsi" w:eastAsiaTheme="minorEastAsia" w:hAnsiTheme="minorHAnsi" w:cstheme="minorHAnsi"/>
      <w:b/>
      <w:color w:val="2E74B5"/>
      <w:sz w:val="36"/>
      <w:szCs w:val="36"/>
    </w:rPr>
  </w:style>
  <w:style w:type="character" w:customStyle="1" w:styleId="Heading3Char">
    <w:name w:val="Heading 3 Char"/>
    <w:basedOn w:val="DefaultParagraphFont"/>
    <w:link w:val="Heading3"/>
    <w:uiPriority w:val="9"/>
    <w:rsid w:val="00184C6B"/>
    <w:rPr>
      <w:rFonts w:asciiTheme="minorHAnsi" w:eastAsiaTheme="minorEastAsia" w:hAnsiTheme="minorHAnsi" w:cstheme="minorHAnsi"/>
      <w:b/>
      <w:color w:val="192168"/>
      <w:sz w:val="28"/>
      <w:szCs w:val="28"/>
    </w:rPr>
  </w:style>
  <w:style w:type="character" w:customStyle="1" w:styleId="Heading4Char">
    <w:name w:val="Heading 4 Char"/>
    <w:basedOn w:val="DefaultParagraphFont"/>
    <w:link w:val="Heading4"/>
    <w:uiPriority w:val="9"/>
    <w:rsid w:val="00184C6B"/>
    <w:rPr>
      <w:rFonts w:asciiTheme="minorHAnsi" w:eastAsiaTheme="minorEastAsia" w:hAnsiTheme="minorHAnsi" w:cstheme="minorHAnsi"/>
      <w:color w:val="2E74B5"/>
      <w:sz w:val="28"/>
      <w:szCs w:val="28"/>
    </w:rPr>
  </w:style>
  <w:style w:type="paragraph" w:customStyle="1" w:styleId="TextBoxHeading">
    <w:name w:val="Text Box Heading"/>
    <w:basedOn w:val="Normal"/>
    <w:link w:val="TextBoxHeadingChar"/>
    <w:qFormat/>
    <w:rsid w:val="00184C6B"/>
    <w:pPr>
      <w:spacing w:after="60" w:line="240" w:lineRule="auto"/>
      <w:jc w:val="center"/>
    </w:pPr>
    <w:rPr>
      <w:b/>
      <w:szCs w:val="22"/>
    </w:rPr>
  </w:style>
  <w:style w:type="paragraph" w:customStyle="1" w:styleId="Call-OutTextBox">
    <w:name w:val="Call-Out Text Box"/>
    <w:basedOn w:val="Normal"/>
    <w:link w:val="Call-OutTextBoxChar"/>
    <w:qFormat/>
    <w:rsid w:val="00184C6B"/>
    <w:rPr>
      <w:szCs w:val="22"/>
    </w:rPr>
  </w:style>
  <w:style w:type="character" w:customStyle="1" w:styleId="TextBoxHeadingChar">
    <w:name w:val="Text Box Heading Char"/>
    <w:basedOn w:val="DefaultParagraphFont"/>
    <w:link w:val="TextBoxHeading"/>
    <w:rsid w:val="00184C6B"/>
    <w:rPr>
      <w:rFonts w:asciiTheme="minorHAnsi" w:eastAsiaTheme="minorEastAsia" w:hAnsiTheme="minorHAnsi" w:cstheme="minorHAnsi"/>
      <w:b/>
      <w:sz w:val="22"/>
      <w:szCs w:val="22"/>
    </w:rPr>
  </w:style>
  <w:style w:type="paragraph" w:customStyle="1" w:styleId="TableExhibitTitle">
    <w:name w:val="Table/Exhibit Title"/>
    <w:basedOn w:val="Normal"/>
    <w:link w:val="TableExhibitTitleChar"/>
    <w:qFormat/>
    <w:rsid w:val="00476F34"/>
    <w:pPr>
      <w:keepNext/>
      <w:spacing w:after="120"/>
      <w:jc w:val="center"/>
    </w:pPr>
    <w:rPr>
      <w:b/>
      <w:sz w:val="24"/>
    </w:rPr>
  </w:style>
  <w:style w:type="character" w:customStyle="1" w:styleId="Call-OutTextBoxChar">
    <w:name w:val="Call-Out Text Box Char"/>
    <w:basedOn w:val="DefaultParagraphFont"/>
    <w:link w:val="Call-OutTextBox"/>
    <w:rsid w:val="00184C6B"/>
    <w:rPr>
      <w:rFonts w:asciiTheme="minorHAnsi" w:eastAsiaTheme="minorEastAsia" w:hAnsiTheme="minorHAnsi" w:cstheme="minorHAnsi"/>
      <w:sz w:val="22"/>
      <w:szCs w:val="22"/>
    </w:rPr>
  </w:style>
  <w:style w:type="paragraph" w:customStyle="1" w:styleId="TableTextBoxBullet1">
    <w:name w:val="Table/Text Box Bullet 1"/>
    <w:basedOn w:val="ListParagraph"/>
    <w:link w:val="TableTextBoxBullet1Char"/>
    <w:qFormat/>
    <w:rsid w:val="00476F34"/>
    <w:pPr>
      <w:numPr>
        <w:numId w:val="2"/>
      </w:numPr>
      <w:spacing w:before="40" w:after="40"/>
      <w:ind w:left="274" w:hanging="274"/>
      <w:contextualSpacing w:val="0"/>
    </w:pPr>
    <w:rPr>
      <w:rFonts w:asciiTheme="minorHAnsi" w:hAnsiTheme="minorHAnsi" w:cstheme="minorHAnsi"/>
      <w:sz w:val="20"/>
      <w:szCs w:val="20"/>
    </w:rPr>
  </w:style>
  <w:style w:type="character" w:customStyle="1" w:styleId="TableExhibitTitleChar">
    <w:name w:val="Table/Exhibit Title Char"/>
    <w:basedOn w:val="DefaultParagraphFont"/>
    <w:link w:val="TableExhibitTitle"/>
    <w:rsid w:val="00476F34"/>
    <w:rPr>
      <w:rFonts w:asciiTheme="minorHAnsi" w:eastAsiaTheme="minorEastAsia" w:hAnsiTheme="minorHAnsi" w:cstheme="minorHAnsi"/>
      <w:b/>
    </w:rPr>
  </w:style>
  <w:style w:type="paragraph" w:customStyle="1" w:styleId="TableTextBoxBullet2">
    <w:name w:val="Table/Text Box Bullet 2"/>
    <w:basedOn w:val="ListParagraph"/>
    <w:link w:val="TableTextBoxBullet2Char"/>
    <w:qFormat/>
    <w:rsid w:val="00476F34"/>
    <w:pPr>
      <w:numPr>
        <w:numId w:val="1"/>
      </w:numPr>
      <w:spacing w:before="40" w:after="40"/>
      <w:ind w:left="562" w:hanging="288"/>
      <w:contextualSpacing w:val="0"/>
    </w:pPr>
    <w:rPr>
      <w:rFonts w:asciiTheme="minorHAnsi" w:hAnsiTheme="minorHAnsi" w:cstheme="minorHAnsi"/>
      <w:sz w:val="20"/>
      <w:szCs w:val="20"/>
    </w:rPr>
  </w:style>
  <w:style w:type="character" w:customStyle="1" w:styleId="ListParagraphChar">
    <w:name w:val="List Paragraph Char"/>
    <w:basedOn w:val="DefaultParagraphFont"/>
    <w:link w:val="ListParagraph"/>
    <w:uiPriority w:val="34"/>
    <w:rsid w:val="00BE6D65"/>
  </w:style>
  <w:style w:type="character" w:customStyle="1" w:styleId="TableTextBoxBullet1Char">
    <w:name w:val="Table/Text Box Bullet 1 Char"/>
    <w:basedOn w:val="ListParagraphChar"/>
    <w:link w:val="TableTextBoxBullet1"/>
    <w:rsid w:val="00476F34"/>
    <w:rPr>
      <w:rFonts w:asciiTheme="minorHAnsi" w:hAnsiTheme="minorHAnsi" w:cstheme="minorHAnsi"/>
      <w:sz w:val="20"/>
      <w:szCs w:val="20"/>
    </w:rPr>
  </w:style>
  <w:style w:type="paragraph" w:customStyle="1" w:styleId="TableHead1">
    <w:name w:val="Table Head 1"/>
    <w:basedOn w:val="Normal"/>
    <w:link w:val="TableHead1Char"/>
    <w:qFormat/>
    <w:rsid w:val="000D59BB"/>
    <w:pPr>
      <w:keepNext/>
      <w:spacing w:before="40" w:after="40" w:line="240" w:lineRule="auto"/>
    </w:pPr>
    <w:rPr>
      <w:color w:val="FFFFFF" w:themeColor="background1"/>
      <w:sz w:val="24"/>
    </w:rPr>
  </w:style>
  <w:style w:type="character" w:customStyle="1" w:styleId="TableTextBoxBullet2Char">
    <w:name w:val="Table/Text Box Bullet 2 Char"/>
    <w:basedOn w:val="ListParagraphChar"/>
    <w:link w:val="TableTextBoxBullet2"/>
    <w:rsid w:val="00476F34"/>
    <w:rPr>
      <w:rFonts w:asciiTheme="minorHAnsi" w:hAnsiTheme="minorHAnsi" w:cstheme="minorHAnsi"/>
      <w:sz w:val="20"/>
      <w:szCs w:val="20"/>
    </w:rPr>
  </w:style>
  <w:style w:type="paragraph" w:customStyle="1" w:styleId="TableHead2">
    <w:name w:val="Table Head 2"/>
    <w:basedOn w:val="Normal"/>
    <w:link w:val="TableHead2Char"/>
    <w:qFormat/>
    <w:rsid w:val="000D59BB"/>
    <w:pPr>
      <w:keepNext/>
      <w:spacing w:before="40" w:after="40" w:line="240" w:lineRule="auto"/>
    </w:pPr>
    <w:rPr>
      <w:b/>
    </w:rPr>
  </w:style>
  <w:style w:type="character" w:customStyle="1" w:styleId="TableHead1Char">
    <w:name w:val="Table Head 1 Char"/>
    <w:basedOn w:val="DefaultParagraphFont"/>
    <w:link w:val="TableHead1"/>
    <w:rsid w:val="000D59BB"/>
    <w:rPr>
      <w:rFonts w:asciiTheme="minorHAnsi" w:eastAsiaTheme="minorEastAsia" w:hAnsiTheme="minorHAnsi" w:cstheme="minorHAnsi"/>
      <w:color w:val="FFFFFF" w:themeColor="background1"/>
    </w:rPr>
  </w:style>
  <w:style w:type="paragraph" w:customStyle="1" w:styleId="TableSubhead">
    <w:name w:val="Table Subhead"/>
    <w:basedOn w:val="Normal"/>
    <w:link w:val="TableSubheadChar"/>
    <w:qFormat/>
    <w:rsid w:val="00476F34"/>
    <w:pPr>
      <w:spacing w:before="40" w:after="40" w:line="240" w:lineRule="auto"/>
    </w:pPr>
    <w:rPr>
      <w:b/>
      <w:sz w:val="20"/>
      <w:szCs w:val="20"/>
    </w:rPr>
  </w:style>
  <w:style w:type="character" w:customStyle="1" w:styleId="TableHead2Char">
    <w:name w:val="Table Head 2 Char"/>
    <w:basedOn w:val="DefaultParagraphFont"/>
    <w:link w:val="TableHead2"/>
    <w:rsid w:val="000D59BB"/>
    <w:rPr>
      <w:rFonts w:asciiTheme="minorHAnsi" w:eastAsiaTheme="minorEastAsia" w:hAnsiTheme="minorHAnsi" w:cstheme="minorHAnsi"/>
      <w:b/>
      <w:sz w:val="22"/>
    </w:rPr>
  </w:style>
  <w:style w:type="paragraph" w:customStyle="1" w:styleId="TableTextLeft">
    <w:name w:val="Table Text Left"/>
    <w:basedOn w:val="Normal"/>
    <w:link w:val="TableTextLeftChar"/>
    <w:qFormat/>
    <w:rsid w:val="00476F34"/>
    <w:pPr>
      <w:spacing w:before="40" w:after="40" w:line="240" w:lineRule="auto"/>
    </w:pPr>
    <w:rPr>
      <w:sz w:val="20"/>
      <w:szCs w:val="20"/>
    </w:rPr>
  </w:style>
  <w:style w:type="character" w:customStyle="1" w:styleId="TableSubheadChar">
    <w:name w:val="Table Subhead Char"/>
    <w:basedOn w:val="DefaultParagraphFont"/>
    <w:link w:val="TableSubhead"/>
    <w:rsid w:val="00476F34"/>
    <w:rPr>
      <w:rFonts w:asciiTheme="minorHAnsi" w:eastAsiaTheme="minorEastAsia" w:hAnsiTheme="minorHAnsi" w:cstheme="minorHAnsi"/>
      <w:b/>
      <w:sz w:val="20"/>
      <w:szCs w:val="20"/>
    </w:rPr>
  </w:style>
  <w:style w:type="paragraph" w:customStyle="1" w:styleId="Bullet1">
    <w:name w:val="Bullet 1"/>
    <w:basedOn w:val="TableTextBoxBullet1"/>
    <w:link w:val="Bullet1Char"/>
    <w:qFormat/>
    <w:rsid w:val="00476F34"/>
    <w:pPr>
      <w:spacing w:before="0" w:after="60" w:line="264" w:lineRule="auto"/>
    </w:pPr>
    <w:rPr>
      <w:sz w:val="22"/>
      <w:szCs w:val="22"/>
    </w:rPr>
  </w:style>
  <w:style w:type="character" w:customStyle="1" w:styleId="TableTextLeftChar">
    <w:name w:val="Table Text Left Char"/>
    <w:basedOn w:val="DefaultParagraphFont"/>
    <w:link w:val="TableTextLeft"/>
    <w:rsid w:val="00476F34"/>
    <w:rPr>
      <w:rFonts w:asciiTheme="minorHAnsi" w:eastAsiaTheme="minorEastAsia" w:hAnsiTheme="minorHAnsi" w:cstheme="minorHAnsi"/>
      <w:sz w:val="20"/>
      <w:szCs w:val="20"/>
    </w:rPr>
  </w:style>
  <w:style w:type="paragraph" w:customStyle="1" w:styleId="Bullet2">
    <w:name w:val="Bullet 2"/>
    <w:basedOn w:val="TableTextBoxBullet2"/>
    <w:link w:val="Bullet2Char"/>
    <w:qFormat/>
    <w:rsid w:val="00C22F1B"/>
    <w:pPr>
      <w:spacing w:before="0" w:after="60" w:line="264" w:lineRule="auto"/>
    </w:pPr>
    <w:rPr>
      <w:sz w:val="22"/>
      <w:szCs w:val="22"/>
    </w:rPr>
  </w:style>
  <w:style w:type="character" w:customStyle="1" w:styleId="Bullet1Char">
    <w:name w:val="Bullet 1 Char"/>
    <w:basedOn w:val="TableTextBoxBullet1Char"/>
    <w:link w:val="Bullet1"/>
    <w:rsid w:val="00476F34"/>
    <w:rPr>
      <w:rFonts w:asciiTheme="minorHAnsi" w:hAnsiTheme="minorHAnsi" w:cstheme="minorHAnsi"/>
      <w:sz w:val="22"/>
      <w:szCs w:val="22"/>
    </w:rPr>
  </w:style>
  <w:style w:type="paragraph" w:customStyle="1" w:styleId="Bullet3">
    <w:name w:val="Bullet 3"/>
    <w:basedOn w:val="ListParagraph"/>
    <w:link w:val="Bullet3Char"/>
    <w:qFormat/>
    <w:rsid w:val="00C22F1B"/>
    <w:pPr>
      <w:numPr>
        <w:numId w:val="3"/>
      </w:numPr>
      <w:spacing w:after="60"/>
      <w:ind w:left="850" w:hanging="274"/>
    </w:pPr>
    <w:rPr>
      <w:rFonts w:asciiTheme="minorHAnsi" w:hAnsiTheme="minorHAnsi" w:cstheme="minorHAnsi"/>
      <w:sz w:val="22"/>
      <w:szCs w:val="22"/>
    </w:rPr>
  </w:style>
  <w:style w:type="character" w:customStyle="1" w:styleId="Bullet2Char">
    <w:name w:val="Bullet 2 Char"/>
    <w:basedOn w:val="TableTextBoxBullet2Char"/>
    <w:link w:val="Bullet2"/>
    <w:rsid w:val="00C22F1B"/>
    <w:rPr>
      <w:rFonts w:asciiTheme="minorHAnsi" w:hAnsiTheme="minorHAnsi" w:cstheme="minorHAnsi"/>
      <w:sz w:val="22"/>
      <w:szCs w:val="22"/>
    </w:rPr>
  </w:style>
  <w:style w:type="character" w:customStyle="1" w:styleId="Bullet3Char">
    <w:name w:val="Bullet 3 Char"/>
    <w:basedOn w:val="ListParagraphChar"/>
    <w:link w:val="Bullet3"/>
    <w:rsid w:val="00C22F1B"/>
    <w:rPr>
      <w:rFonts w:asciiTheme="minorHAnsi" w:hAnsiTheme="minorHAnsi" w:cstheme="minorHAnsi"/>
      <w:sz w:val="22"/>
      <w:szCs w:val="22"/>
    </w:rPr>
  </w:style>
  <w:style w:type="character" w:styleId="Hyperlink">
    <w:name w:val="Hyperlink"/>
    <w:basedOn w:val="DefaultParagraphFont"/>
    <w:uiPriority w:val="99"/>
    <w:unhideWhenUsed/>
    <w:rsid w:val="00233B7C"/>
    <w:rPr>
      <w:color w:val="0563C1" w:themeColor="hyperlink"/>
      <w:u w:val="single"/>
    </w:rPr>
  </w:style>
  <w:style w:type="character" w:styleId="FollowedHyperlink">
    <w:name w:val="FollowedHyperlink"/>
    <w:basedOn w:val="DefaultParagraphFont"/>
    <w:uiPriority w:val="99"/>
    <w:semiHidden/>
    <w:unhideWhenUsed/>
    <w:rsid w:val="008A3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96562">
      <w:bodyDiv w:val="1"/>
      <w:marLeft w:val="0"/>
      <w:marRight w:val="0"/>
      <w:marTop w:val="0"/>
      <w:marBottom w:val="0"/>
      <w:divBdr>
        <w:top w:val="none" w:sz="0" w:space="0" w:color="auto"/>
        <w:left w:val="none" w:sz="0" w:space="0" w:color="auto"/>
        <w:bottom w:val="none" w:sz="0" w:space="0" w:color="auto"/>
        <w:right w:val="none" w:sz="0" w:space="0" w:color="auto"/>
      </w:divBdr>
    </w:div>
    <w:div w:id="11908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Leza</dc:creator>
  <cp:keywords/>
  <dc:description/>
  <cp:lastModifiedBy>Ussery, Faith L. (CDC/DDPHSIS/CGH/DGHT)</cp:lastModifiedBy>
  <cp:revision>13</cp:revision>
  <dcterms:created xsi:type="dcterms:W3CDTF">2019-06-10T12:29:00Z</dcterms:created>
  <dcterms:modified xsi:type="dcterms:W3CDTF">2020-09-08T15:50:00Z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inh3@cdc.gov</vt:lpwstr>
  </property>
  <property fmtid="{D5CDD505-2E9C-101B-9397-08002B2CF9AE}" pid="5" name="MSIP_Label_7b94a7b8-f06c-4dfe-bdcc-9b548fd58c31_SetDate">
    <vt:lpwstr>2020-09-08T15:50:27.8618472Z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b6e9f957-5da9-47b6-ae03-b88ef46b7d6f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